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C" w:rsidRPr="004F0853" w:rsidRDefault="00CE1A7C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 xml:space="preserve">Информационно-статистический обзор </w:t>
      </w:r>
    </w:p>
    <w:p w:rsidR="00CE1A7C" w:rsidRPr="004F0853" w:rsidRDefault="00CE1A7C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 xml:space="preserve">обращений граждан, рассмотренных </w:t>
      </w:r>
      <w:r w:rsidR="003D4946" w:rsidRPr="004F0853">
        <w:rPr>
          <w:b/>
        </w:rPr>
        <w:t xml:space="preserve">в </w:t>
      </w:r>
      <w:r w:rsidRPr="004F0853">
        <w:rPr>
          <w:b/>
        </w:rPr>
        <w:t>Управлении</w:t>
      </w:r>
      <w:r w:rsidR="003D4946" w:rsidRPr="004F0853">
        <w:rPr>
          <w:b/>
        </w:rPr>
        <w:t xml:space="preserve"> </w:t>
      </w:r>
      <w:proofErr w:type="gramStart"/>
      <w:r w:rsidR="003D4946" w:rsidRPr="004F0853">
        <w:rPr>
          <w:b/>
        </w:rPr>
        <w:t>Федеральной</w:t>
      </w:r>
      <w:proofErr w:type="gramEnd"/>
      <w:r w:rsidR="003D4946" w:rsidRPr="004F0853">
        <w:rPr>
          <w:b/>
        </w:rPr>
        <w:t xml:space="preserve"> </w:t>
      </w:r>
    </w:p>
    <w:p w:rsidR="003D4946" w:rsidRPr="004F0853" w:rsidRDefault="003D4946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 xml:space="preserve">службы государственной статистики по </w:t>
      </w:r>
      <w:r w:rsidR="00031091" w:rsidRPr="004F0853">
        <w:rPr>
          <w:b/>
        </w:rPr>
        <w:t xml:space="preserve">г. Москве и </w:t>
      </w:r>
      <w:r w:rsidRPr="004F0853">
        <w:rPr>
          <w:b/>
        </w:rPr>
        <w:t xml:space="preserve">Московской области </w:t>
      </w:r>
    </w:p>
    <w:p w:rsidR="003D4946" w:rsidRPr="004F0853" w:rsidRDefault="003D4946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>в</w:t>
      </w:r>
      <w:r w:rsidR="0069630C">
        <w:rPr>
          <w:b/>
        </w:rPr>
        <w:t>о</w:t>
      </w:r>
      <w:r w:rsidRPr="004F0853">
        <w:rPr>
          <w:b/>
        </w:rPr>
        <w:t xml:space="preserve">  </w:t>
      </w:r>
      <w:r w:rsidR="00A72895" w:rsidRPr="004F0853">
        <w:rPr>
          <w:b/>
          <w:lang w:val="en-US"/>
        </w:rPr>
        <w:t>I</w:t>
      </w:r>
      <w:r w:rsidR="0069630C">
        <w:rPr>
          <w:b/>
          <w:lang w:val="en-US"/>
        </w:rPr>
        <w:t>I</w:t>
      </w:r>
      <w:r w:rsidRPr="004F0853">
        <w:rPr>
          <w:b/>
        </w:rPr>
        <w:t xml:space="preserve"> </w:t>
      </w:r>
      <w:r w:rsidR="00FE6D35" w:rsidRPr="004F0853">
        <w:rPr>
          <w:b/>
        </w:rPr>
        <w:t>квартале 2021</w:t>
      </w:r>
      <w:r w:rsidR="006F3125" w:rsidRPr="004F0853">
        <w:rPr>
          <w:b/>
        </w:rPr>
        <w:t xml:space="preserve"> </w:t>
      </w:r>
      <w:r w:rsidRPr="004F0853">
        <w:rPr>
          <w:b/>
        </w:rPr>
        <w:t>года</w:t>
      </w:r>
    </w:p>
    <w:p w:rsidR="003D4946" w:rsidRPr="004F0853" w:rsidRDefault="003D4946" w:rsidP="00EE4E42">
      <w:pPr>
        <w:spacing w:line="360" w:lineRule="auto"/>
        <w:ind w:firstLine="0"/>
        <w:jc w:val="center"/>
      </w:pPr>
    </w:p>
    <w:p w:rsidR="008C5DFC" w:rsidRPr="004F0853" w:rsidRDefault="008C5DFC" w:rsidP="00EE4E42">
      <w:pPr>
        <w:pStyle w:val="aa"/>
        <w:numPr>
          <w:ilvl w:val="0"/>
          <w:numId w:val="1"/>
        </w:numPr>
        <w:spacing w:line="360" w:lineRule="auto"/>
      </w:pPr>
      <w:r w:rsidRPr="004F0853">
        <w:t xml:space="preserve">В Управление Федеральной службы государственной статистики по </w:t>
      </w:r>
      <w:proofErr w:type="gramStart"/>
      <w:r w:rsidRPr="004F0853">
        <w:t>г</w:t>
      </w:r>
      <w:proofErr w:type="gramEnd"/>
      <w:r w:rsidRPr="004F0853">
        <w:t xml:space="preserve">. </w:t>
      </w:r>
    </w:p>
    <w:p w:rsidR="004D6CDC" w:rsidRDefault="008C5DFC" w:rsidP="00EE4E42">
      <w:pPr>
        <w:spacing w:line="360" w:lineRule="auto"/>
        <w:ind w:firstLine="0"/>
      </w:pPr>
      <w:r w:rsidRPr="004F0853">
        <w:t>Москве и Московской области</w:t>
      </w:r>
      <w:r w:rsidR="003D4946" w:rsidRPr="004F0853">
        <w:t xml:space="preserve"> </w:t>
      </w:r>
      <w:r w:rsidR="00752E88" w:rsidRPr="004F0853">
        <w:t>в</w:t>
      </w:r>
      <w:r w:rsidR="0069630C">
        <w:t>о</w:t>
      </w:r>
      <w:r w:rsidR="000D0AFD" w:rsidRPr="004F0853">
        <w:t xml:space="preserve"> </w:t>
      </w:r>
      <w:r w:rsidR="00A72895" w:rsidRPr="004F0853">
        <w:rPr>
          <w:lang w:val="en-US"/>
        </w:rPr>
        <w:t>I</w:t>
      </w:r>
      <w:r w:rsidR="0069630C">
        <w:rPr>
          <w:lang w:val="en-US"/>
        </w:rPr>
        <w:t>I</w:t>
      </w:r>
      <w:r w:rsidR="00FE6D35" w:rsidRPr="004F0853">
        <w:t xml:space="preserve"> квартале 2021</w:t>
      </w:r>
      <w:r w:rsidRPr="004F0853">
        <w:t xml:space="preserve"> </w:t>
      </w:r>
      <w:r w:rsidR="00752E88" w:rsidRPr="004F0853">
        <w:t xml:space="preserve">года </w:t>
      </w:r>
      <w:r w:rsidRPr="004F0853">
        <w:t xml:space="preserve">поступило </w:t>
      </w:r>
      <w:r w:rsidR="0069630C">
        <w:rPr>
          <w:b/>
        </w:rPr>
        <w:t>124</w:t>
      </w:r>
      <w:r w:rsidRPr="004F0853">
        <w:t xml:space="preserve"> </w:t>
      </w:r>
      <w:r w:rsidR="0069630C">
        <w:t>обращения</w:t>
      </w:r>
      <w:r w:rsidR="00714AFD" w:rsidRPr="004F0853">
        <w:t xml:space="preserve"> граждан </w:t>
      </w:r>
      <w:r w:rsidR="00402FDA" w:rsidRPr="004F0853">
        <w:t xml:space="preserve">(далее </w:t>
      </w:r>
      <w:r w:rsidR="00FE5DA2" w:rsidRPr="004F0853">
        <w:t>–</w:t>
      </w:r>
      <w:r w:rsidRPr="004F0853">
        <w:t xml:space="preserve"> обращения), что на </w:t>
      </w:r>
      <w:r w:rsidR="0069630C">
        <w:t xml:space="preserve">181,8 </w:t>
      </w:r>
      <w:r w:rsidRPr="004F0853">
        <w:t>% больше, чем в</w:t>
      </w:r>
      <w:r w:rsidR="0069630C">
        <w:t>о</w:t>
      </w:r>
      <w:r w:rsidRPr="004F0853">
        <w:t xml:space="preserve"> </w:t>
      </w:r>
      <w:r w:rsidRPr="004F0853">
        <w:rPr>
          <w:lang w:val="en-US"/>
        </w:rPr>
        <w:t>I</w:t>
      </w:r>
      <w:r w:rsidR="0069630C">
        <w:rPr>
          <w:lang w:val="en-US"/>
        </w:rPr>
        <w:t>I</w:t>
      </w:r>
      <w:r w:rsidRPr="004F0853">
        <w:t xml:space="preserve"> квартале 2020 года</w:t>
      </w:r>
      <w:r w:rsidR="003D4946" w:rsidRPr="004F0853">
        <w:t>.</w:t>
      </w:r>
    </w:p>
    <w:p w:rsidR="003A7996" w:rsidRPr="004F0853" w:rsidRDefault="003A7996" w:rsidP="00EE4E42">
      <w:pPr>
        <w:spacing w:line="360" w:lineRule="auto"/>
        <w:ind w:firstLine="0"/>
      </w:pPr>
    </w:p>
    <w:p w:rsidR="008C5DFC" w:rsidRPr="004F0853" w:rsidRDefault="00640F73" w:rsidP="00640F73">
      <w:pPr>
        <w:spacing w:line="360" w:lineRule="auto"/>
        <w:ind w:firstLine="0"/>
        <w:jc w:val="center"/>
      </w:pPr>
      <w:r w:rsidRPr="004F0853">
        <w:rPr>
          <w:noProof/>
        </w:rPr>
        <w:drawing>
          <wp:inline distT="0" distB="0" distL="0" distR="0" wp14:anchorId="7026D603" wp14:editId="1CED2A40">
            <wp:extent cx="4029075" cy="21336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43BE" w:rsidRPr="004F0853" w:rsidRDefault="007A43BE" w:rsidP="00EE4E42">
      <w:pPr>
        <w:spacing w:line="360" w:lineRule="auto"/>
        <w:jc w:val="center"/>
      </w:pPr>
    </w:p>
    <w:p w:rsidR="005A2EE3" w:rsidRPr="004F0853" w:rsidRDefault="005A2EE3" w:rsidP="00EE4E42">
      <w:pPr>
        <w:spacing w:line="360" w:lineRule="auto"/>
        <w:ind w:firstLine="0"/>
      </w:pPr>
    </w:p>
    <w:p w:rsidR="005A2EE3" w:rsidRPr="004F0853" w:rsidRDefault="007A43BE" w:rsidP="00EE4E42">
      <w:pPr>
        <w:spacing w:line="360" w:lineRule="auto"/>
      </w:pPr>
      <w:r w:rsidRPr="004F0853">
        <w:t>По месяцам квартала поступило:</w:t>
      </w:r>
    </w:p>
    <w:p w:rsidR="003D4946" w:rsidRPr="004F0853" w:rsidRDefault="00552DCE" w:rsidP="00EE4E42">
      <w:pPr>
        <w:spacing w:line="360" w:lineRule="auto"/>
      </w:pPr>
      <w:r w:rsidRPr="004F0853">
        <w:t>в</w:t>
      </w:r>
      <w:r w:rsidR="0006148C" w:rsidRPr="004F0853">
        <w:t xml:space="preserve"> </w:t>
      </w:r>
      <w:r w:rsidR="00EA77E4">
        <w:t>апреле</w:t>
      </w:r>
      <w:r w:rsidR="0006148C" w:rsidRPr="004F0853">
        <w:t xml:space="preserve"> </w:t>
      </w:r>
      <w:r w:rsidR="006F3125" w:rsidRPr="004F0853">
        <w:t>–</w:t>
      </w:r>
      <w:r w:rsidR="00402FDA" w:rsidRPr="004F0853">
        <w:t xml:space="preserve"> </w:t>
      </w:r>
      <w:r w:rsidR="00EA77E4">
        <w:t>55</w:t>
      </w:r>
      <w:r w:rsidR="00C73E36">
        <w:t xml:space="preserve"> обращений</w:t>
      </w:r>
      <w:r w:rsidR="00B84783">
        <w:t xml:space="preserve"> (44,4</w:t>
      </w:r>
      <w:r w:rsidR="00E90E62">
        <w:t xml:space="preserve"> %)</w:t>
      </w:r>
      <w:r w:rsidR="003D4946" w:rsidRPr="004F0853">
        <w:t>;</w:t>
      </w:r>
    </w:p>
    <w:p w:rsidR="003D4946" w:rsidRPr="004F0853" w:rsidRDefault="00552DCE" w:rsidP="00EE4E42">
      <w:pPr>
        <w:spacing w:line="360" w:lineRule="auto"/>
      </w:pPr>
      <w:r w:rsidRPr="004F0853">
        <w:t>в</w:t>
      </w:r>
      <w:r w:rsidR="000D0AFD" w:rsidRPr="004F0853">
        <w:t xml:space="preserve"> </w:t>
      </w:r>
      <w:r w:rsidR="00EA77E4">
        <w:t>мае</w:t>
      </w:r>
      <w:r w:rsidR="004D4298" w:rsidRPr="004F0853">
        <w:t xml:space="preserve"> </w:t>
      </w:r>
      <w:r w:rsidR="006F3125" w:rsidRPr="004F0853">
        <w:t>–</w:t>
      </w:r>
      <w:r w:rsidR="00FC1256" w:rsidRPr="004F0853">
        <w:t xml:space="preserve"> </w:t>
      </w:r>
      <w:r w:rsidR="00EA77E4">
        <w:t>22</w:t>
      </w:r>
      <w:r w:rsidR="000D0AFD" w:rsidRPr="004F0853">
        <w:t xml:space="preserve"> </w:t>
      </w:r>
      <w:r w:rsidR="00146782">
        <w:t>обращения</w:t>
      </w:r>
      <w:r w:rsidR="00E90E62">
        <w:t xml:space="preserve"> (17,7 %)</w:t>
      </w:r>
      <w:r w:rsidR="003D4946" w:rsidRPr="004F0853">
        <w:t>;</w:t>
      </w:r>
    </w:p>
    <w:p w:rsidR="003D4946" w:rsidRDefault="00552DCE" w:rsidP="00EE4E42">
      <w:pPr>
        <w:spacing w:line="360" w:lineRule="auto"/>
      </w:pPr>
      <w:r w:rsidRPr="004F0853">
        <w:t>в</w:t>
      </w:r>
      <w:r w:rsidR="000D0AFD" w:rsidRPr="004F0853">
        <w:t xml:space="preserve"> </w:t>
      </w:r>
      <w:r w:rsidR="00EA77E4">
        <w:t>июне</w:t>
      </w:r>
      <w:r w:rsidR="004D4298" w:rsidRPr="004F0853">
        <w:t xml:space="preserve"> </w:t>
      </w:r>
      <w:r w:rsidR="00FC1256" w:rsidRPr="004F0853">
        <w:t xml:space="preserve">– </w:t>
      </w:r>
      <w:r w:rsidR="00EA77E4">
        <w:t>47</w:t>
      </w:r>
      <w:r w:rsidR="000D0AFD" w:rsidRPr="004F0853">
        <w:t xml:space="preserve"> обращений</w:t>
      </w:r>
      <w:r w:rsidR="00E90E62">
        <w:t xml:space="preserve"> (37,9 %)</w:t>
      </w:r>
      <w:r w:rsidR="00AE43F8" w:rsidRPr="004F0853">
        <w:t>.</w:t>
      </w:r>
    </w:p>
    <w:p w:rsidR="00884FE6" w:rsidRPr="004F0853" w:rsidRDefault="00884FE6" w:rsidP="00EE4E42">
      <w:pPr>
        <w:spacing w:line="360" w:lineRule="auto"/>
      </w:pPr>
    </w:p>
    <w:p w:rsidR="003A7996" w:rsidRPr="004F0853" w:rsidRDefault="00884FE6" w:rsidP="00360896">
      <w:pPr>
        <w:spacing w:line="360" w:lineRule="auto"/>
        <w:ind w:left="709" w:firstLine="0"/>
        <w:jc w:val="left"/>
      </w:pPr>
      <w:r>
        <w:rPr>
          <w:noProof/>
        </w:rPr>
        <w:drawing>
          <wp:inline distT="0" distB="0" distL="0" distR="0">
            <wp:extent cx="3185327" cy="1617784"/>
            <wp:effectExtent l="0" t="0" r="15240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30B2" w:rsidRPr="004F0853" w:rsidRDefault="00CB380B" w:rsidP="00EE4E42">
      <w:pPr>
        <w:spacing w:line="360" w:lineRule="auto"/>
      </w:pPr>
      <w:r w:rsidRPr="004F0853">
        <w:lastRenderedPageBreak/>
        <w:t xml:space="preserve">1.1. </w:t>
      </w:r>
      <w:r w:rsidR="003D4946" w:rsidRPr="004F0853">
        <w:t xml:space="preserve">По </w:t>
      </w:r>
      <w:r w:rsidR="001561DC">
        <w:t>виду</w:t>
      </w:r>
      <w:r w:rsidR="003D4946" w:rsidRPr="004F0853">
        <w:t xml:space="preserve"> обращени</w:t>
      </w:r>
      <w:r w:rsidR="004F0853">
        <w:t>я:</w:t>
      </w:r>
    </w:p>
    <w:p w:rsidR="003D4946" w:rsidRPr="004F0853" w:rsidRDefault="00402FDA" w:rsidP="004F0853">
      <w:pPr>
        <w:spacing w:line="360" w:lineRule="auto"/>
      </w:pPr>
      <w:r w:rsidRPr="004F0853">
        <w:t xml:space="preserve">заявления – </w:t>
      </w:r>
      <w:r w:rsidR="003A7996">
        <w:t>15</w:t>
      </w:r>
      <w:r w:rsidR="00E90E62">
        <w:t xml:space="preserve"> (12,1 %)</w:t>
      </w:r>
      <w:r w:rsidR="004D6CDC" w:rsidRPr="004F0853">
        <w:t>;</w:t>
      </w:r>
      <w:r w:rsidR="003D4946" w:rsidRPr="004F0853">
        <w:t xml:space="preserve">  </w:t>
      </w:r>
    </w:p>
    <w:p w:rsidR="004F0853" w:rsidRDefault="00AF72AB" w:rsidP="00EE4E42">
      <w:pPr>
        <w:spacing w:line="360" w:lineRule="auto"/>
      </w:pPr>
      <w:r w:rsidRPr="004F0853">
        <w:t xml:space="preserve">запросы </w:t>
      </w:r>
      <w:r w:rsidR="004F0853">
        <w:t>статистической информации</w:t>
      </w:r>
      <w:r w:rsidR="00402FDA" w:rsidRPr="004F0853">
        <w:t xml:space="preserve"> </w:t>
      </w:r>
      <w:r w:rsidR="006F3125" w:rsidRPr="004F0853">
        <w:t>–</w:t>
      </w:r>
      <w:r w:rsidR="00402FDA" w:rsidRPr="004F0853">
        <w:t xml:space="preserve"> </w:t>
      </w:r>
      <w:r w:rsidR="003A7996">
        <w:t>98</w:t>
      </w:r>
      <w:r w:rsidR="00E90E62">
        <w:t xml:space="preserve"> (79,0 %)</w:t>
      </w:r>
      <w:r w:rsidR="004F0853" w:rsidRPr="004F0853">
        <w:t>;</w:t>
      </w:r>
    </w:p>
    <w:p w:rsidR="003A7996" w:rsidRDefault="004F0853" w:rsidP="003A7996">
      <w:pPr>
        <w:spacing w:line="360" w:lineRule="auto"/>
      </w:pPr>
      <w:r>
        <w:t xml:space="preserve">запросы ГБО </w:t>
      </w:r>
      <w:r w:rsidRPr="004F0853">
        <w:t>–</w:t>
      </w:r>
      <w:r>
        <w:t xml:space="preserve"> </w:t>
      </w:r>
      <w:r w:rsidR="003A7996">
        <w:t>11</w:t>
      </w:r>
      <w:r w:rsidR="00E90E62">
        <w:t xml:space="preserve"> (8,9 %)</w:t>
      </w:r>
      <w:r>
        <w:t>.</w:t>
      </w:r>
    </w:p>
    <w:p w:rsidR="00D252F0" w:rsidRDefault="00D252F0" w:rsidP="00360896">
      <w:pPr>
        <w:spacing w:line="360" w:lineRule="auto"/>
        <w:ind w:firstLine="0"/>
      </w:pPr>
    </w:p>
    <w:p w:rsidR="003A7996" w:rsidRPr="004F0853" w:rsidRDefault="00CB380B" w:rsidP="003A7996">
      <w:pPr>
        <w:spacing w:line="360" w:lineRule="auto"/>
      </w:pPr>
      <w:r w:rsidRPr="004F0853">
        <w:t>1.</w:t>
      </w:r>
      <w:r w:rsidR="00AA06B0" w:rsidRPr="004F0853">
        <w:t xml:space="preserve">2. </w:t>
      </w:r>
      <w:r w:rsidR="003A7996" w:rsidRPr="004F0853">
        <w:t>По</w:t>
      </w:r>
      <w:r w:rsidR="003A7996">
        <w:t xml:space="preserve"> источнику поступления</w:t>
      </w:r>
      <w:r w:rsidR="003A7996" w:rsidRPr="004F0853">
        <w:t>:</w:t>
      </w:r>
    </w:p>
    <w:p w:rsidR="003A7996" w:rsidRDefault="005B371B" w:rsidP="003A7996">
      <w:pPr>
        <w:spacing w:line="360" w:lineRule="auto"/>
      </w:pPr>
      <w:r>
        <w:t>от</w:t>
      </w:r>
      <w:r w:rsidR="003A7996" w:rsidRPr="004F0853">
        <w:t xml:space="preserve"> </w:t>
      </w:r>
      <w:r>
        <w:t>Управления Президента Российской Федерации по работе с обращениями граждан и организаций</w:t>
      </w:r>
      <w:r w:rsidR="003A7996">
        <w:t xml:space="preserve"> </w:t>
      </w:r>
      <w:r w:rsidR="003A7996" w:rsidRPr="004F0853">
        <w:t xml:space="preserve">– </w:t>
      </w:r>
      <w:r w:rsidR="003A7996">
        <w:t>6</w:t>
      </w:r>
      <w:r w:rsidR="000E1D95">
        <w:t xml:space="preserve"> (4,8 %)</w:t>
      </w:r>
      <w:r w:rsidR="003A7996" w:rsidRPr="004F0853">
        <w:t>;</w:t>
      </w:r>
    </w:p>
    <w:p w:rsidR="003A7996" w:rsidRPr="004F0853" w:rsidRDefault="003A7996" w:rsidP="003A7996">
      <w:pPr>
        <w:spacing w:line="360" w:lineRule="auto"/>
      </w:pPr>
      <w:r w:rsidRPr="004F0853">
        <w:t xml:space="preserve">от федеральных </w:t>
      </w:r>
      <w:r>
        <w:t>органов исполнительной власти Российской Федерации</w:t>
      </w:r>
      <w:r w:rsidRPr="004F0853">
        <w:t xml:space="preserve"> </w:t>
      </w:r>
      <w:r w:rsidR="00F606E7">
        <w:t>(в том числе</w:t>
      </w:r>
      <w:r w:rsidR="00146782">
        <w:t xml:space="preserve"> </w:t>
      </w:r>
      <w:r>
        <w:t xml:space="preserve">территориальных органов федеральных органов исполнительной власти Российской Федерации) </w:t>
      </w:r>
      <w:r w:rsidRPr="004F0853">
        <w:t xml:space="preserve">– </w:t>
      </w:r>
      <w:r>
        <w:t>13</w:t>
      </w:r>
      <w:r w:rsidR="000E1D95">
        <w:t xml:space="preserve"> (10,5 %)</w:t>
      </w:r>
      <w:r w:rsidRPr="004F0853">
        <w:t>;</w:t>
      </w:r>
    </w:p>
    <w:p w:rsidR="003A7996" w:rsidRPr="004F0853" w:rsidRDefault="003A7996" w:rsidP="003A7996">
      <w:pPr>
        <w:spacing w:line="360" w:lineRule="auto"/>
      </w:pPr>
      <w:r w:rsidRPr="004F0853">
        <w:t xml:space="preserve">от </w:t>
      </w:r>
      <w:r>
        <w:t xml:space="preserve">органов государственной власти субъектов </w:t>
      </w:r>
      <w:r w:rsidR="005F4DE6">
        <w:t>Российской Федерации</w:t>
      </w:r>
      <w:r w:rsidRPr="004F0853">
        <w:t xml:space="preserve"> – 2</w:t>
      </w:r>
      <w:r w:rsidR="000E1D95">
        <w:t xml:space="preserve"> (1,6 %)</w:t>
      </w:r>
      <w:r w:rsidRPr="004F0853">
        <w:t>;</w:t>
      </w:r>
    </w:p>
    <w:p w:rsidR="003A7996" w:rsidRDefault="003A7996" w:rsidP="003A7996">
      <w:pPr>
        <w:spacing w:line="360" w:lineRule="auto"/>
      </w:pPr>
      <w:r w:rsidRPr="004F0853">
        <w:t>от граждан – 103</w:t>
      </w:r>
      <w:r w:rsidR="000E1D95">
        <w:t xml:space="preserve"> (83,1 %)</w:t>
      </w:r>
      <w:r w:rsidRPr="004F0853">
        <w:t>.</w:t>
      </w:r>
    </w:p>
    <w:p w:rsidR="003A7996" w:rsidRDefault="003A7996" w:rsidP="003A7996">
      <w:pPr>
        <w:spacing w:line="360" w:lineRule="auto"/>
      </w:pPr>
    </w:p>
    <w:p w:rsidR="005A2EE3" w:rsidRPr="004F0853" w:rsidRDefault="003D4946" w:rsidP="00146782">
      <w:pPr>
        <w:pStyle w:val="aa"/>
        <w:numPr>
          <w:ilvl w:val="1"/>
          <w:numId w:val="1"/>
        </w:numPr>
        <w:spacing w:line="360" w:lineRule="auto"/>
      </w:pPr>
      <w:r w:rsidRPr="004F0853">
        <w:t xml:space="preserve">По </w:t>
      </w:r>
      <w:r w:rsidR="001561DC">
        <w:t>виду</w:t>
      </w:r>
      <w:r w:rsidRPr="004F0853">
        <w:t xml:space="preserve"> доставки</w:t>
      </w:r>
      <w:r w:rsidR="00AF72AB" w:rsidRPr="004F0853">
        <w:t xml:space="preserve"> </w:t>
      </w:r>
      <w:r w:rsidR="00A9735D" w:rsidRPr="004F0853">
        <w:t xml:space="preserve">обращений </w:t>
      </w:r>
      <w:r w:rsidR="00AF72AB" w:rsidRPr="004F0853">
        <w:t xml:space="preserve">в </w:t>
      </w:r>
      <w:proofErr w:type="spellStart"/>
      <w:r w:rsidR="00AF72AB" w:rsidRPr="004F0853">
        <w:t>Мосстат</w:t>
      </w:r>
      <w:proofErr w:type="spellEnd"/>
      <w:r w:rsidR="005A2EE3" w:rsidRPr="004F0853">
        <w:t xml:space="preserve"> поступило</w:t>
      </w:r>
      <w:r w:rsidRPr="004F0853">
        <w:t>:</w:t>
      </w:r>
    </w:p>
    <w:p w:rsidR="003D4946" w:rsidRPr="004F0853" w:rsidRDefault="00AF72AB" w:rsidP="00EE4E42">
      <w:pPr>
        <w:spacing w:line="360" w:lineRule="auto"/>
      </w:pPr>
      <w:r w:rsidRPr="004F0853">
        <w:t>п</w:t>
      </w:r>
      <w:r w:rsidR="00402FDA" w:rsidRPr="004F0853">
        <w:t xml:space="preserve">очтой России </w:t>
      </w:r>
      <w:r w:rsidR="006F3125" w:rsidRPr="004F0853">
        <w:t>–</w:t>
      </w:r>
      <w:r w:rsidR="00402FDA" w:rsidRPr="004F0853">
        <w:t xml:space="preserve"> </w:t>
      </w:r>
      <w:r w:rsidR="005F4DE6">
        <w:t>13</w:t>
      </w:r>
      <w:r w:rsidR="000E1D95">
        <w:t xml:space="preserve"> (10,5 %)</w:t>
      </w:r>
      <w:r w:rsidR="003D4946" w:rsidRPr="004F0853">
        <w:t>;</w:t>
      </w:r>
    </w:p>
    <w:p w:rsidR="003D4946" w:rsidRDefault="00A134FA" w:rsidP="005F4DE6">
      <w:pPr>
        <w:spacing w:line="360" w:lineRule="auto"/>
      </w:pPr>
      <w:r w:rsidRPr="004F0853">
        <w:t>по информационно-телекоммуникационной сети</w:t>
      </w:r>
      <w:r w:rsidR="003D4946" w:rsidRPr="004F0853">
        <w:t xml:space="preserve"> </w:t>
      </w:r>
      <w:r w:rsidR="002C1062" w:rsidRPr="004F0853">
        <w:t xml:space="preserve">«Интернет» </w:t>
      </w:r>
      <w:r w:rsidR="003D4946" w:rsidRPr="004F0853">
        <w:t>(</w:t>
      </w:r>
      <w:r w:rsidR="005F4DE6">
        <w:t>на официальный электронный адрес</w:t>
      </w:r>
      <w:r w:rsidR="003D4946" w:rsidRPr="004F0853">
        <w:t xml:space="preserve">) </w:t>
      </w:r>
      <w:r w:rsidR="006F3125" w:rsidRPr="004F0853">
        <w:t>–</w:t>
      </w:r>
      <w:r w:rsidR="003D4946" w:rsidRPr="004F0853">
        <w:t xml:space="preserve"> </w:t>
      </w:r>
      <w:r w:rsidR="005F4DE6">
        <w:t>52</w:t>
      </w:r>
      <w:r w:rsidR="000E1D95">
        <w:t xml:space="preserve"> (41,9 %)</w:t>
      </w:r>
      <w:r w:rsidR="003D4946" w:rsidRPr="004F0853">
        <w:t>;</w:t>
      </w:r>
    </w:p>
    <w:p w:rsidR="005F4DE6" w:rsidRPr="004F0853" w:rsidRDefault="00D252F0" w:rsidP="005F4DE6">
      <w:pPr>
        <w:spacing w:line="360" w:lineRule="auto"/>
      </w:pPr>
      <w:r>
        <w:t>через</w:t>
      </w:r>
      <w:r w:rsidR="005F4DE6">
        <w:t xml:space="preserve"> официал</w:t>
      </w:r>
      <w:r w:rsidR="00D855A8">
        <w:t xml:space="preserve">ьный сайт </w:t>
      </w:r>
      <w:r w:rsidR="005F4DE6" w:rsidRPr="004F0853">
        <w:t xml:space="preserve">– </w:t>
      </w:r>
      <w:r w:rsidR="005F4DE6">
        <w:t>34</w:t>
      </w:r>
      <w:r w:rsidR="000E1D95">
        <w:t xml:space="preserve"> (27,4 %)</w:t>
      </w:r>
      <w:r w:rsidR="005F4DE6" w:rsidRPr="004F0853">
        <w:t>;</w:t>
      </w:r>
    </w:p>
    <w:p w:rsidR="00F64F20" w:rsidRDefault="00E24EAC" w:rsidP="00526D40">
      <w:pPr>
        <w:spacing w:line="360" w:lineRule="auto"/>
      </w:pPr>
      <w:r w:rsidRPr="004F0853">
        <w:t>другим способом доставки</w:t>
      </w:r>
      <w:r w:rsidR="00402FDA" w:rsidRPr="004F0853">
        <w:t xml:space="preserve"> – </w:t>
      </w:r>
      <w:r w:rsidR="005F4DE6">
        <w:t>25</w:t>
      </w:r>
      <w:r w:rsidR="000E1D95">
        <w:t xml:space="preserve"> (20,2 %)</w:t>
      </w:r>
      <w:r w:rsidR="004D6CDC" w:rsidRPr="004F0853">
        <w:t>.</w:t>
      </w:r>
    </w:p>
    <w:p w:rsidR="00526D40" w:rsidRDefault="00526D40" w:rsidP="00526D40">
      <w:pPr>
        <w:spacing w:line="360" w:lineRule="auto"/>
      </w:pPr>
    </w:p>
    <w:p w:rsidR="00F64F20" w:rsidRPr="004F0853" w:rsidRDefault="00F64F20" w:rsidP="00940C58">
      <w:pPr>
        <w:spacing w:line="360" w:lineRule="auto"/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316932" wp14:editId="229D6E2B">
            <wp:simplePos x="0" y="0"/>
            <wp:positionH relativeFrom="column">
              <wp:posOffset>1469390</wp:posOffset>
            </wp:positionH>
            <wp:positionV relativeFrom="paragraph">
              <wp:posOffset>-3175</wp:posOffset>
            </wp:positionV>
            <wp:extent cx="4822825" cy="2592070"/>
            <wp:effectExtent l="0" t="0" r="15875" b="1778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20" w:rsidRPr="004F0853" w:rsidRDefault="00F64F20" w:rsidP="00526D40">
      <w:pPr>
        <w:spacing w:line="360" w:lineRule="auto"/>
        <w:ind w:firstLine="0"/>
      </w:pPr>
    </w:p>
    <w:p w:rsidR="00940C58" w:rsidRDefault="00940C58" w:rsidP="00EE4E42">
      <w:pPr>
        <w:spacing w:line="360" w:lineRule="auto"/>
      </w:pPr>
    </w:p>
    <w:p w:rsidR="00940C58" w:rsidRDefault="00940C58" w:rsidP="00EE4E42">
      <w:pPr>
        <w:spacing w:line="360" w:lineRule="auto"/>
      </w:pPr>
    </w:p>
    <w:p w:rsidR="00940C58" w:rsidRDefault="00940C58" w:rsidP="00EE4E42">
      <w:pPr>
        <w:spacing w:line="360" w:lineRule="auto"/>
      </w:pPr>
    </w:p>
    <w:p w:rsidR="00940C58" w:rsidRDefault="00940C58" w:rsidP="00EE4E42">
      <w:pPr>
        <w:spacing w:line="360" w:lineRule="auto"/>
      </w:pPr>
    </w:p>
    <w:p w:rsidR="00940C58" w:rsidRDefault="00940C58" w:rsidP="00360896">
      <w:pPr>
        <w:spacing w:line="360" w:lineRule="auto"/>
        <w:ind w:firstLine="0"/>
      </w:pPr>
    </w:p>
    <w:p w:rsidR="003D4946" w:rsidRPr="004F0853" w:rsidRDefault="00CB380B" w:rsidP="00EE4E42">
      <w:pPr>
        <w:spacing w:line="360" w:lineRule="auto"/>
      </w:pPr>
      <w:r w:rsidRPr="004F0853">
        <w:lastRenderedPageBreak/>
        <w:t>2</w:t>
      </w:r>
      <w:r w:rsidR="003D4946" w:rsidRPr="004F0853">
        <w:t xml:space="preserve">. </w:t>
      </w:r>
      <w:r w:rsidR="001E6294" w:rsidRPr="004F0853">
        <w:t>В</w:t>
      </w:r>
      <w:r w:rsidR="005F4DE6">
        <w:t>о</w:t>
      </w:r>
      <w:r w:rsidR="001E6294" w:rsidRPr="004F0853">
        <w:t xml:space="preserve"> </w:t>
      </w:r>
      <w:r w:rsidR="001E6294" w:rsidRPr="004F0853">
        <w:rPr>
          <w:lang w:val="en-US"/>
        </w:rPr>
        <w:t>I</w:t>
      </w:r>
      <w:r w:rsidR="005F4DE6">
        <w:rPr>
          <w:lang w:val="en-US"/>
        </w:rPr>
        <w:t>I</w:t>
      </w:r>
      <w:r w:rsidR="001E6294" w:rsidRPr="004F0853">
        <w:t xml:space="preserve"> квартале 2021 года Управлением Федеральной службы государственной статистики по г. Москве и Московской области рассмотрено </w:t>
      </w:r>
      <w:r w:rsidR="005F4DE6">
        <w:rPr>
          <w:b/>
        </w:rPr>
        <w:t>122</w:t>
      </w:r>
      <w:r w:rsidR="001E6294" w:rsidRPr="004F0853">
        <w:rPr>
          <w:b/>
        </w:rPr>
        <w:t xml:space="preserve"> </w:t>
      </w:r>
      <w:r w:rsidR="005F4DE6">
        <w:t>обращения</w:t>
      </w:r>
      <w:r w:rsidR="00EA0137">
        <w:t xml:space="preserve"> (из них 11 обращений поступило</w:t>
      </w:r>
      <w:r w:rsidR="00C73E36">
        <w:t xml:space="preserve"> в </w:t>
      </w:r>
      <w:r w:rsidR="00C73E36">
        <w:rPr>
          <w:lang w:val="en-US"/>
        </w:rPr>
        <w:t>I</w:t>
      </w:r>
      <w:r w:rsidR="00C73E36">
        <w:t xml:space="preserve"> квартале 2021 года)</w:t>
      </w:r>
      <w:r w:rsidR="00722CAA" w:rsidRPr="004F0853">
        <w:t>.</w:t>
      </w:r>
      <w:r w:rsidR="003D4946" w:rsidRPr="004F0853">
        <w:t xml:space="preserve"> </w:t>
      </w:r>
      <w:r w:rsidR="001E6294" w:rsidRPr="004F0853">
        <w:t xml:space="preserve">На все </w:t>
      </w:r>
      <w:r w:rsidR="005F4DE6">
        <w:t>122 обращения</w:t>
      </w:r>
      <w:r w:rsidR="001E6294" w:rsidRPr="004F0853">
        <w:t xml:space="preserve"> даны ответы в установленные законодательством Российской Федерации сроки.</w:t>
      </w:r>
    </w:p>
    <w:p w:rsidR="003D4946" w:rsidRDefault="001E6294" w:rsidP="004F0853">
      <w:pPr>
        <w:spacing w:line="360" w:lineRule="auto"/>
      </w:pPr>
      <w:r w:rsidRPr="004F0853">
        <w:t>По состоянию</w:t>
      </w:r>
      <w:r w:rsidR="00714AFD" w:rsidRPr="004F0853">
        <w:t xml:space="preserve"> на 1 </w:t>
      </w:r>
      <w:r w:rsidR="005F4DE6">
        <w:t>июля</w:t>
      </w:r>
      <w:r w:rsidR="006F7B4A" w:rsidRPr="004F0853">
        <w:t xml:space="preserve"> 2021</w:t>
      </w:r>
      <w:r w:rsidR="003D4946" w:rsidRPr="004F0853">
        <w:t xml:space="preserve"> года </w:t>
      </w:r>
      <w:r w:rsidRPr="004F0853">
        <w:t xml:space="preserve">на рассмотрении находилось </w:t>
      </w:r>
      <w:r w:rsidR="005159E3" w:rsidRPr="004F0853">
        <w:t>1</w:t>
      </w:r>
      <w:r w:rsidR="005F4DE6">
        <w:t>3</w:t>
      </w:r>
      <w:r w:rsidRPr="004F0853">
        <w:t xml:space="preserve"> обращений</w:t>
      </w:r>
      <w:r w:rsidR="00722CAA" w:rsidRPr="004F0853">
        <w:t>.</w:t>
      </w:r>
    </w:p>
    <w:p w:rsidR="004F0853" w:rsidRPr="004F0853" w:rsidRDefault="004F0853" w:rsidP="004F0853">
      <w:pPr>
        <w:spacing w:line="360" w:lineRule="auto"/>
      </w:pPr>
    </w:p>
    <w:p w:rsidR="004F0853" w:rsidRPr="004F0853" w:rsidRDefault="00CB380B" w:rsidP="004F0853">
      <w:pPr>
        <w:spacing w:line="360" w:lineRule="auto"/>
      </w:pPr>
      <w:r w:rsidRPr="004F0853">
        <w:t xml:space="preserve">2.1. </w:t>
      </w:r>
      <w:r w:rsidR="00A243A6">
        <w:t xml:space="preserve">По характеру принятых </w:t>
      </w:r>
      <w:r w:rsidR="004F0853" w:rsidRPr="004F0853">
        <w:t>решений</w:t>
      </w:r>
      <w:r w:rsidR="00A243A6">
        <w:t xml:space="preserve"> гражданам направлены ответы с результатом рассмотрения обращений</w:t>
      </w:r>
      <w:r w:rsidR="004F0853" w:rsidRPr="004F0853">
        <w:t>:</w:t>
      </w:r>
    </w:p>
    <w:p w:rsidR="004F0853" w:rsidRPr="004F0853" w:rsidRDefault="004F0853" w:rsidP="004F0853">
      <w:pPr>
        <w:spacing w:line="360" w:lineRule="auto"/>
      </w:pPr>
      <w:r w:rsidRPr="004F0853">
        <w:t xml:space="preserve">«разъяснено» – </w:t>
      </w:r>
      <w:r w:rsidR="00636BCD">
        <w:t>20</w:t>
      </w:r>
      <w:r w:rsidR="009464D0">
        <w:t xml:space="preserve"> (16,4 %)</w:t>
      </w:r>
      <w:r w:rsidRPr="004F0853">
        <w:t>;</w:t>
      </w:r>
    </w:p>
    <w:p w:rsidR="004F0853" w:rsidRDefault="004F0853" w:rsidP="004F0853">
      <w:pPr>
        <w:spacing w:line="360" w:lineRule="auto"/>
      </w:pPr>
      <w:r w:rsidRPr="004F0853">
        <w:t xml:space="preserve"> «поддержано, в </w:t>
      </w:r>
      <w:proofErr w:type="spellStart"/>
      <w:r w:rsidRPr="004F0853">
        <w:t>т.ч</w:t>
      </w:r>
      <w:proofErr w:type="spellEnd"/>
      <w:r w:rsidRPr="004F0853">
        <w:t xml:space="preserve">. </w:t>
      </w:r>
      <w:r w:rsidR="00636BCD">
        <w:t>приняты меры</w:t>
      </w:r>
      <w:r w:rsidRPr="004F0853">
        <w:t xml:space="preserve">» – </w:t>
      </w:r>
      <w:r w:rsidR="00636BCD">
        <w:t>5</w:t>
      </w:r>
      <w:r w:rsidR="009464D0">
        <w:t xml:space="preserve"> (4,1 %)</w:t>
      </w:r>
      <w:r w:rsidRPr="004F0853">
        <w:t>;</w:t>
      </w:r>
    </w:p>
    <w:p w:rsidR="00636BCD" w:rsidRPr="004F0853" w:rsidRDefault="00636BCD" w:rsidP="004F0853">
      <w:pPr>
        <w:spacing w:line="360" w:lineRule="auto"/>
      </w:pPr>
      <w:r w:rsidRPr="004F0853">
        <w:t>«</w:t>
      </w:r>
      <w:r>
        <w:t>направлено по компетенции</w:t>
      </w:r>
      <w:r w:rsidRPr="004F0853">
        <w:t xml:space="preserve">» </w:t>
      </w:r>
      <w:r w:rsidR="009464D0">
        <w:t xml:space="preserve">(переадресовано) </w:t>
      </w:r>
      <w:r w:rsidRPr="004F0853">
        <w:t xml:space="preserve">– </w:t>
      </w:r>
      <w:r w:rsidR="009464D0">
        <w:t>1 (0,8 %)</w:t>
      </w:r>
      <w:r w:rsidRPr="004F0853">
        <w:t>;</w:t>
      </w:r>
    </w:p>
    <w:p w:rsidR="005A42EC" w:rsidRDefault="004F0853" w:rsidP="004F0853">
      <w:pPr>
        <w:spacing w:line="360" w:lineRule="auto"/>
      </w:pPr>
      <w:r w:rsidRPr="004F0853">
        <w:t xml:space="preserve">«предоставлена гос. услуга» – </w:t>
      </w:r>
      <w:r w:rsidR="00636BCD">
        <w:t>96</w:t>
      </w:r>
      <w:r w:rsidR="009464D0">
        <w:t xml:space="preserve"> (78,7 %)</w:t>
      </w:r>
      <w:r w:rsidRPr="004F0853">
        <w:t>.</w:t>
      </w:r>
    </w:p>
    <w:p w:rsidR="004F0853" w:rsidRPr="004F0853" w:rsidRDefault="004F0853" w:rsidP="001729A5">
      <w:pPr>
        <w:spacing w:line="360" w:lineRule="auto"/>
        <w:ind w:firstLine="0"/>
      </w:pPr>
    </w:p>
    <w:p w:rsidR="004F0853" w:rsidRPr="004F0853" w:rsidRDefault="00CB380B" w:rsidP="004F0853">
      <w:pPr>
        <w:spacing w:line="360" w:lineRule="auto"/>
      </w:pPr>
      <w:r w:rsidRPr="004F0853">
        <w:t>2.2.</w:t>
      </w:r>
      <w:r w:rsidR="003D4946" w:rsidRPr="004F0853">
        <w:t xml:space="preserve"> </w:t>
      </w:r>
      <w:r w:rsidR="004F0853" w:rsidRPr="004F0853">
        <w:t>По способу направления ответа гражданину:</w:t>
      </w:r>
    </w:p>
    <w:p w:rsidR="004F0853" w:rsidRPr="004F0853" w:rsidRDefault="004F0853" w:rsidP="004F0853">
      <w:pPr>
        <w:spacing w:line="360" w:lineRule="auto"/>
      </w:pPr>
      <w:r w:rsidRPr="004F0853">
        <w:t>Почтой России – 33</w:t>
      </w:r>
      <w:r w:rsidR="009464D0">
        <w:t xml:space="preserve"> (27,0 %)</w:t>
      </w:r>
      <w:r w:rsidRPr="004F0853">
        <w:t xml:space="preserve">; </w:t>
      </w:r>
    </w:p>
    <w:p w:rsidR="004F0853" w:rsidRPr="004F0853" w:rsidRDefault="004F0853" w:rsidP="009464D0">
      <w:pPr>
        <w:spacing w:line="360" w:lineRule="auto"/>
      </w:pPr>
      <w:r w:rsidRPr="004F0853">
        <w:t>по информационно-телекоммуникационной сети «Интернет» (</w:t>
      </w:r>
      <w:r w:rsidR="009464D0">
        <w:t>на электронный адрес</w:t>
      </w:r>
      <w:r w:rsidRPr="004F0853">
        <w:t>) – 112</w:t>
      </w:r>
      <w:r w:rsidR="009464D0">
        <w:t xml:space="preserve"> (91,8 %)</w:t>
      </w:r>
      <w:r w:rsidRPr="004F0853">
        <w:t xml:space="preserve">; </w:t>
      </w:r>
    </w:p>
    <w:p w:rsidR="004F0853" w:rsidRPr="004F0853" w:rsidRDefault="001729A5" w:rsidP="004F0853">
      <w:pPr>
        <w:spacing w:line="360" w:lineRule="auto"/>
      </w:pPr>
      <w:r>
        <w:t>на руки – 2</w:t>
      </w:r>
      <w:r w:rsidR="009464D0">
        <w:t xml:space="preserve"> (1,6 %)</w:t>
      </w:r>
      <w:r>
        <w:t>.</w:t>
      </w:r>
    </w:p>
    <w:p w:rsidR="00556521" w:rsidRPr="004F0853" w:rsidRDefault="00556521" w:rsidP="004F0853">
      <w:pPr>
        <w:spacing w:line="360" w:lineRule="auto"/>
        <w:ind w:firstLine="0"/>
      </w:pPr>
    </w:p>
    <w:p w:rsidR="003D4946" w:rsidRPr="004F0853" w:rsidRDefault="00CB380B" w:rsidP="009F41B1">
      <w:pPr>
        <w:spacing w:line="360" w:lineRule="auto"/>
      </w:pPr>
      <w:r w:rsidRPr="004F0853">
        <w:t>2.3</w:t>
      </w:r>
      <w:r w:rsidR="003D4946" w:rsidRPr="004F0853">
        <w:t xml:space="preserve">. </w:t>
      </w:r>
      <w:r w:rsidR="009F41B1">
        <w:t xml:space="preserve">На все 122 обращения </w:t>
      </w:r>
      <w:r w:rsidR="009464D0">
        <w:t xml:space="preserve">(100 %) </w:t>
      </w:r>
      <w:r w:rsidR="009F41B1">
        <w:t>г</w:t>
      </w:r>
      <w:r w:rsidR="00AA06B0" w:rsidRPr="004F0853">
        <w:t xml:space="preserve">ражданам </w:t>
      </w:r>
      <w:r w:rsidR="009F41B1">
        <w:t xml:space="preserve">были направлены </w:t>
      </w:r>
      <w:r w:rsidR="009464D0">
        <w:t xml:space="preserve">ответы </w:t>
      </w:r>
      <w:r w:rsidR="00AA06B0" w:rsidRPr="004F0853">
        <w:t>за подписью</w:t>
      </w:r>
      <w:r w:rsidR="009F41B1">
        <w:t xml:space="preserve"> заместителей</w:t>
      </w:r>
      <w:r w:rsidR="003D4946" w:rsidRPr="004F0853">
        <w:t xml:space="preserve"> руководителя </w:t>
      </w:r>
      <w:r w:rsidR="00222CE4" w:rsidRPr="004F0853">
        <w:t>Мосстата</w:t>
      </w:r>
      <w:r w:rsidR="003D4946" w:rsidRPr="004F0853">
        <w:t>.</w:t>
      </w:r>
    </w:p>
    <w:p w:rsidR="003D4946" w:rsidRPr="004F0853" w:rsidRDefault="003D4946" w:rsidP="004F0853">
      <w:pPr>
        <w:pStyle w:val="Default"/>
        <w:spacing w:line="360" w:lineRule="auto"/>
        <w:jc w:val="both"/>
        <w:rPr>
          <w:sz w:val="28"/>
          <w:szCs w:val="28"/>
        </w:rPr>
      </w:pPr>
    </w:p>
    <w:p w:rsidR="00800F9F" w:rsidRDefault="007712A1" w:rsidP="00800F9F">
      <w:pPr>
        <w:pStyle w:val="aa"/>
        <w:numPr>
          <w:ilvl w:val="0"/>
          <w:numId w:val="2"/>
        </w:numPr>
        <w:spacing w:line="360" w:lineRule="auto"/>
        <w:ind w:left="1066" w:hanging="357"/>
      </w:pPr>
      <w:r>
        <w:t xml:space="preserve">Систематизация вопросов, содержащихся в </w:t>
      </w:r>
      <w:r w:rsidR="00800F9F">
        <w:t xml:space="preserve">поступивших обращениях, </w:t>
      </w:r>
    </w:p>
    <w:p w:rsidR="00204610" w:rsidRDefault="00204610" w:rsidP="00800F9F">
      <w:pPr>
        <w:spacing w:line="360" w:lineRule="auto"/>
        <w:ind w:firstLine="0"/>
      </w:pPr>
      <w:r>
        <w:t>о</w:t>
      </w:r>
      <w:r w:rsidR="007712A1">
        <w:t>существлялась</w:t>
      </w:r>
      <w:r>
        <w:t xml:space="preserve"> </w:t>
      </w:r>
      <w:r w:rsidR="007712A1">
        <w:t>на основе</w:t>
      </w:r>
      <w:r w:rsidR="007712A1" w:rsidRPr="004F0853">
        <w:t xml:space="preserve"> «Типового общероссийского тематического</w:t>
      </w:r>
      <w:r w:rsidR="007712A1">
        <w:t xml:space="preserve"> </w:t>
      </w:r>
      <w:r w:rsidR="007712A1" w:rsidRPr="004F0853">
        <w:t>классификатора обращений граждан Российской Федерации, иностранных граждан, лиц без гражданства, объединений граждан, в том числе юридических лиц»</w:t>
      </w:r>
      <w:r w:rsidR="007712A1">
        <w:t xml:space="preserve">. </w:t>
      </w:r>
    </w:p>
    <w:p w:rsidR="00204610" w:rsidRDefault="00204610" w:rsidP="00204610">
      <w:pPr>
        <w:spacing w:line="360" w:lineRule="auto"/>
        <w:ind w:left="709" w:firstLine="0"/>
      </w:pPr>
    </w:p>
    <w:p w:rsidR="007712A1" w:rsidRPr="00204610" w:rsidRDefault="00800F9F" w:rsidP="00204610">
      <w:pPr>
        <w:spacing w:line="360" w:lineRule="auto"/>
      </w:pPr>
      <w:r>
        <w:lastRenderedPageBreak/>
        <w:t xml:space="preserve">107 обращений (86,3 </w:t>
      </w:r>
      <w:r w:rsidRPr="00800F9F">
        <w:t>%</w:t>
      </w:r>
      <w:r>
        <w:t>)</w:t>
      </w:r>
      <w:r w:rsidR="00204610">
        <w:t xml:space="preserve">, из числа поступивших во </w:t>
      </w:r>
      <w:r w:rsidR="00204610">
        <w:rPr>
          <w:lang w:val="en-US"/>
        </w:rPr>
        <w:t>II</w:t>
      </w:r>
      <w:r w:rsidR="00204610" w:rsidRPr="00204610">
        <w:t xml:space="preserve"> </w:t>
      </w:r>
      <w:r w:rsidR="00204610">
        <w:t>квартале 2021 года, содержало вопрос «</w:t>
      </w:r>
      <w:r w:rsidR="00204610" w:rsidRPr="00204610">
        <w:t>0001.0002.0025.1202</w:t>
      </w:r>
      <w:r w:rsidR="00204610">
        <w:t xml:space="preserve">. </w:t>
      </w:r>
      <w:r w:rsidR="00204610" w:rsidRPr="00204610">
        <w:t>Официальная статистическая информация</w:t>
      </w:r>
      <w:r w:rsidR="00204610">
        <w:t>».</w:t>
      </w:r>
    </w:p>
    <w:p w:rsidR="00800F9F" w:rsidRDefault="00800F9F" w:rsidP="007712A1">
      <w:pPr>
        <w:spacing w:line="360" w:lineRule="auto"/>
        <w:ind w:firstLine="1134"/>
      </w:pPr>
    </w:p>
    <w:p w:rsidR="007712A1" w:rsidRPr="004F0853" w:rsidRDefault="007712A1" w:rsidP="001729A5">
      <w:pPr>
        <w:spacing w:line="360" w:lineRule="auto"/>
        <w:ind w:firstLine="0"/>
      </w:pPr>
    </w:p>
    <w:p w:rsidR="00EE4E42" w:rsidRDefault="005F4DE6" w:rsidP="00495B38">
      <w:pPr>
        <w:pStyle w:val="aa"/>
        <w:spacing w:line="360" w:lineRule="auto"/>
        <w:ind w:left="0" w:firstLine="0"/>
        <w:jc w:val="center"/>
      </w:pPr>
      <w:r>
        <w:rPr>
          <w:noProof/>
        </w:rPr>
        <w:drawing>
          <wp:inline distT="0" distB="0" distL="0" distR="0" wp14:anchorId="2AD1B0CD" wp14:editId="49787E91">
            <wp:extent cx="6144322" cy="3111190"/>
            <wp:effectExtent l="0" t="0" r="2794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495B38" w:rsidRDefault="00495B38" w:rsidP="00EA48BD">
      <w:pPr>
        <w:pStyle w:val="aa"/>
        <w:spacing w:line="360" w:lineRule="auto"/>
        <w:ind w:left="1066" w:firstLine="0"/>
        <w:jc w:val="center"/>
      </w:pPr>
    </w:p>
    <w:p w:rsidR="00495B38" w:rsidRPr="004F0853" w:rsidRDefault="00495B38" w:rsidP="007E20EE">
      <w:pPr>
        <w:pStyle w:val="aa"/>
        <w:spacing w:line="360" w:lineRule="auto"/>
        <w:ind w:left="142" w:firstLine="0"/>
        <w:jc w:val="center"/>
      </w:pPr>
    </w:p>
    <w:p w:rsidR="00F14FB9" w:rsidRPr="004F0853" w:rsidRDefault="00F02294" w:rsidP="00EE4E42">
      <w:pPr>
        <w:pStyle w:val="aa"/>
        <w:spacing w:line="360" w:lineRule="auto"/>
        <w:ind w:left="1069" w:firstLine="0"/>
      </w:pPr>
      <w:r w:rsidRPr="004F0853">
        <w:t xml:space="preserve"> </w:t>
      </w:r>
    </w:p>
    <w:p w:rsidR="00F02294" w:rsidRPr="004F0853" w:rsidRDefault="0088270A" w:rsidP="00EE4E42">
      <w:pPr>
        <w:spacing w:line="360" w:lineRule="auto"/>
        <w:ind w:firstLine="0"/>
      </w:pPr>
      <w:r w:rsidRPr="004F0853">
        <w:t xml:space="preserve"> </w:t>
      </w:r>
    </w:p>
    <w:sectPr w:rsidR="00F02294" w:rsidRPr="004F0853" w:rsidSect="009947EC">
      <w:headerReference w:type="default" r:id="rId13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CB" w:rsidRDefault="003001CB" w:rsidP="003D4946">
      <w:r>
        <w:separator/>
      </w:r>
    </w:p>
  </w:endnote>
  <w:endnote w:type="continuationSeparator" w:id="0">
    <w:p w:rsidR="003001CB" w:rsidRDefault="003001CB" w:rsidP="003D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CB" w:rsidRDefault="003001CB" w:rsidP="003D4946">
      <w:r>
        <w:separator/>
      </w:r>
    </w:p>
  </w:footnote>
  <w:footnote w:type="continuationSeparator" w:id="0">
    <w:p w:rsidR="003001CB" w:rsidRDefault="003001CB" w:rsidP="003D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2F4823" w:rsidRDefault="003D49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E09">
          <w:rPr>
            <w:noProof/>
          </w:rPr>
          <w:t>4</w:t>
        </w:r>
        <w:r>
          <w:fldChar w:fldCharType="end"/>
        </w:r>
      </w:p>
    </w:sdtContent>
  </w:sdt>
  <w:p w:rsidR="002F4823" w:rsidRDefault="003001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93C"/>
    <w:multiLevelType w:val="hybridMultilevel"/>
    <w:tmpl w:val="80B084C8"/>
    <w:lvl w:ilvl="0" w:tplc="4F0293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B651C8"/>
    <w:multiLevelType w:val="multilevel"/>
    <w:tmpl w:val="FC669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46"/>
    <w:rsid w:val="00016567"/>
    <w:rsid w:val="00031091"/>
    <w:rsid w:val="00035E09"/>
    <w:rsid w:val="000456BF"/>
    <w:rsid w:val="0006148C"/>
    <w:rsid w:val="000C3E5A"/>
    <w:rsid w:val="000D0AFD"/>
    <w:rsid w:val="000E1D95"/>
    <w:rsid w:val="001030CD"/>
    <w:rsid w:val="001232D3"/>
    <w:rsid w:val="00146782"/>
    <w:rsid w:val="001526AE"/>
    <w:rsid w:val="001561DC"/>
    <w:rsid w:val="001729A5"/>
    <w:rsid w:val="001A7177"/>
    <w:rsid w:val="001B0BBE"/>
    <w:rsid w:val="001E6294"/>
    <w:rsid w:val="001F41BD"/>
    <w:rsid w:val="00204610"/>
    <w:rsid w:val="00217B50"/>
    <w:rsid w:val="00222CE4"/>
    <w:rsid w:val="0026317F"/>
    <w:rsid w:val="002A4E60"/>
    <w:rsid w:val="002C1062"/>
    <w:rsid w:val="002F1195"/>
    <w:rsid w:val="003001CB"/>
    <w:rsid w:val="003230B2"/>
    <w:rsid w:val="003266D6"/>
    <w:rsid w:val="003304FE"/>
    <w:rsid w:val="003459FD"/>
    <w:rsid w:val="00360896"/>
    <w:rsid w:val="00371187"/>
    <w:rsid w:val="00394EC1"/>
    <w:rsid w:val="00396F62"/>
    <w:rsid w:val="003973C5"/>
    <w:rsid w:val="003A1DCA"/>
    <w:rsid w:val="003A7996"/>
    <w:rsid w:val="003B60C8"/>
    <w:rsid w:val="003B7D75"/>
    <w:rsid w:val="003D4946"/>
    <w:rsid w:val="00402FDA"/>
    <w:rsid w:val="00426FD4"/>
    <w:rsid w:val="0044309C"/>
    <w:rsid w:val="0046697D"/>
    <w:rsid w:val="00481003"/>
    <w:rsid w:val="00495B38"/>
    <w:rsid w:val="004A4DA1"/>
    <w:rsid w:val="004B3487"/>
    <w:rsid w:val="004B41E8"/>
    <w:rsid w:val="004D4298"/>
    <w:rsid w:val="004D6CDC"/>
    <w:rsid w:val="004F0853"/>
    <w:rsid w:val="004F7C4C"/>
    <w:rsid w:val="0050788C"/>
    <w:rsid w:val="005159E3"/>
    <w:rsid w:val="00526D40"/>
    <w:rsid w:val="005346B4"/>
    <w:rsid w:val="0054003F"/>
    <w:rsid w:val="005439F3"/>
    <w:rsid w:val="00546FE2"/>
    <w:rsid w:val="00552DCE"/>
    <w:rsid w:val="00553737"/>
    <w:rsid w:val="00556521"/>
    <w:rsid w:val="005A2EE3"/>
    <w:rsid w:val="005A42EC"/>
    <w:rsid w:val="005A5477"/>
    <w:rsid w:val="005B371B"/>
    <w:rsid w:val="005B42A2"/>
    <w:rsid w:val="005F4DE6"/>
    <w:rsid w:val="005F7630"/>
    <w:rsid w:val="00636BCD"/>
    <w:rsid w:val="00640F73"/>
    <w:rsid w:val="00655DD1"/>
    <w:rsid w:val="006809BB"/>
    <w:rsid w:val="00682BE5"/>
    <w:rsid w:val="0069630C"/>
    <w:rsid w:val="006D2903"/>
    <w:rsid w:val="006E39D9"/>
    <w:rsid w:val="006F3125"/>
    <w:rsid w:val="006F6A57"/>
    <w:rsid w:val="006F7B4A"/>
    <w:rsid w:val="00714AFD"/>
    <w:rsid w:val="00722CAA"/>
    <w:rsid w:val="00726F31"/>
    <w:rsid w:val="007362F1"/>
    <w:rsid w:val="0074627F"/>
    <w:rsid w:val="007517A8"/>
    <w:rsid w:val="00752E88"/>
    <w:rsid w:val="007648FA"/>
    <w:rsid w:val="00767713"/>
    <w:rsid w:val="007712A1"/>
    <w:rsid w:val="007A43BE"/>
    <w:rsid w:val="007B07A3"/>
    <w:rsid w:val="007B6287"/>
    <w:rsid w:val="007E04F6"/>
    <w:rsid w:val="007E20EE"/>
    <w:rsid w:val="00800F9F"/>
    <w:rsid w:val="00817812"/>
    <w:rsid w:val="00824FBC"/>
    <w:rsid w:val="00860DB6"/>
    <w:rsid w:val="00873154"/>
    <w:rsid w:val="0088270A"/>
    <w:rsid w:val="00884FE6"/>
    <w:rsid w:val="00890CB6"/>
    <w:rsid w:val="00896C8B"/>
    <w:rsid w:val="008B61C2"/>
    <w:rsid w:val="008C5DFC"/>
    <w:rsid w:val="008E12C4"/>
    <w:rsid w:val="009120AD"/>
    <w:rsid w:val="00930942"/>
    <w:rsid w:val="00940C58"/>
    <w:rsid w:val="009464D0"/>
    <w:rsid w:val="0096061B"/>
    <w:rsid w:val="00960F09"/>
    <w:rsid w:val="009A6087"/>
    <w:rsid w:val="009B1844"/>
    <w:rsid w:val="009B44BC"/>
    <w:rsid w:val="009D7A67"/>
    <w:rsid w:val="009E1667"/>
    <w:rsid w:val="009F41B1"/>
    <w:rsid w:val="00A1210A"/>
    <w:rsid w:val="00A134FA"/>
    <w:rsid w:val="00A22044"/>
    <w:rsid w:val="00A243A6"/>
    <w:rsid w:val="00A2583C"/>
    <w:rsid w:val="00A61A1C"/>
    <w:rsid w:val="00A72895"/>
    <w:rsid w:val="00A76868"/>
    <w:rsid w:val="00A76A4F"/>
    <w:rsid w:val="00A9735D"/>
    <w:rsid w:val="00AA06B0"/>
    <w:rsid w:val="00AC2306"/>
    <w:rsid w:val="00AC3B83"/>
    <w:rsid w:val="00AC4CAE"/>
    <w:rsid w:val="00AE43F8"/>
    <w:rsid w:val="00AE61D1"/>
    <w:rsid w:val="00AF72AB"/>
    <w:rsid w:val="00B06FBA"/>
    <w:rsid w:val="00B84783"/>
    <w:rsid w:val="00B9618D"/>
    <w:rsid w:val="00BC10C1"/>
    <w:rsid w:val="00BE39B5"/>
    <w:rsid w:val="00BE55FB"/>
    <w:rsid w:val="00C06FF0"/>
    <w:rsid w:val="00C24B7E"/>
    <w:rsid w:val="00C31895"/>
    <w:rsid w:val="00C35B91"/>
    <w:rsid w:val="00C456CA"/>
    <w:rsid w:val="00C73E36"/>
    <w:rsid w:val="00C8165A"/>
    <w:rsid w:val="00CB380B"/>
    <w:rsid w:val="00CD7FE2"/>
    <w:rsid w:val="00CE1A7C"/>
    <w:rsid w:val="00D12ECF"/>
    <w:rsid w:val="00D252F0"/>
    <w:rsid w:val="00D576B5"/>
    <w:rsid w:val="00D855A8"/>
    <w:rsid w:val="00DA73D1"/>
    <w:rsid w:val="00DF2164"/>
    <w:rsid w:val="00E045FA"/>
    <w:rsid w:val="00E24EAC"/>
    <w:rsid w:val="00E31125"/>
    <w:rsid w:val="00E530F3"/>
    <w:rsid w:val="00E74110"/>
    <w:rsid w:val="00E90E62"/>
    <w:rsid w:val="00EA0137"/>
    <w:rsid w:val="00EA02EC"/>
    <w:rsid w:val="00EA48BD"/>
    <w:rsid w:val="00EA77E4"/>
    <w:rsid w:val="00ED6EAA"/>
    <w:rsid w:val="00EE4E42"/>
    <w:rsid w:val="00EF5E01"/>
    <w:rsid w:val="00F02294"/>
    <w:rsid w:val="00F14FB9"/>
    <w:rsid w:val="00F34FB8"/>
    <w:rsid w:val="00F42006"/>
    <w:rsid w:val="00F4368F"/>
    <w:rsid w:val="00F5284B"/>
    <w:rsid w:val="00F6008A"/>
    <w:rsid w:val="00F606E7"/>
    <w:rsid w:val="00F64F20"/>
    <w:rsid w:val="00F72FCE"/>
    <w:rsid w:val="00F97CD2"/>
    <w:rsid w:val="00FB1298"/>
    <w:rsid w:val="00FC1256"/>
    <w:rsid w:val="00FC7F83"/>
    <w:rsid w:val="00FE16FA"/>
    <w:rsid w:val="00FE5DA2"/>
    <w:rsid w:val="00FE6D35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D49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494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5DA2"/>
    <w:pPr>
      <w:ind w:left="720"/>
      <w:contextualSpacing/>
    </w:pPr>
  </w:style>
  <w:style w:type="table" w:styleId="ab">
    <w:name w:val="Table Grid"/>
    <w:basedOn w:val="a1"/>
    <w:uiPriority w:val="59"/>
    <w:rsid w:val="00F1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526D4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D49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494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5DA2"/>
    <w:pPr>
      <w:ind w:left="720"/>
      <w:contextualSpacing/>
    </w:pPr>
  </w:style>
  <w:style w:type="table" w:styleId="ab">
    <w:name w:val="Table Grid"/>
    <w:basedOn w:val="a1"/>
    <w:uiPriority w:val="59"/>
    <w:rsid w:val="00F1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526D4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194552293866488E-2"/>
          <c:y val="7.4388741608303985E-2"/>
          <c:w val="0.72825673039445793"/>
          <c:h val="0.8383253908378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715125161593607E-2"/>
                  <c:y val="-5.2241253348486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330434441963411E-2"/>
                  <c:y val="-6.805260167221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598656"/>
        <c:axId val="134600192"/>
        <c:axId val="0"/>
      </c:bar3DChart>
      <c:catAx>
        <c:axId val="13459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600192"/>
        <c:crosses val="autoZero"/>
        <c:auto val="1"/>
        <c:lblAlgn val="ctr"/>
        <c:lblOffset val="100"/>
        <c:noMultiLvlLbl val="0"/>
      </c:catAx>
      <c:valAx>
        <c:axId val="13460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59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2334723030743326"/>
          <c:y val="4.681685107382778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9.56887628805457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831413226962254E-2"/>
                  <c:y val="7.8502445320265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870317866894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22</c:v>
                </c:pt>
                <c:pt idx="2">
                  <c:v>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51424"/>
        <c:axId val="134552960"/>
      </c:lineChart>
      <c:catAx>
        <c:axId val="134551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4552960"/>
        <c:crosses val="autoZero"/>
        <c:auto val="1"/>
        <c:lblAlgn val="ctr"/>
        <c:lblOffset val="100"/>
        <c:noMultiLvlLbl val="0"/>
      </c:catAx>
      <c:valAx>
        <c:axId val="13455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551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165773557033594E-2"/>
          <c:y val="4.7907312556804187E-2"/>
          <c:w val="0.94460897811180056"/>
          <c:h val="0.71330284082136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Официальный электронный адрес</c:v>
                </c:pt>
                <c:pt idx="2">
                  <c:v>Другой способ                 (в т.ч. официальный сайт)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37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Официальный электронный адрес</c:v>
                </c:pt>
                <c:pt idx="2">
                  <c:v>Другой способ                 (в т.ч. официальный сайт)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52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658816"/>
        <c:axId val="144660352"/>
        <c:axId val="0"/>
      </c:bar3DChart>
      <c:catAx>
        <c:axId val="14465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4660352"/>
        <c:crosses val="autoZero"/>
        <c:auto val="1"/>
        <c:lblAlgn val="ctr"/>
        <c:lblOffset val="100"/>
        <c:noMultiLvlLbl val="0"/>
      </c:catAx>
      <c:valAx>
        <c:axId val="144660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465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13285720689084"/>
          <c:y val="6.3827604073762631E-2"/>
          <c:w val="0.20256670003536084"/>
          <c:h val="0.156055347450500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21264074111447"/>
          <c:y val="3.2118397937551134E-2"/>
        </c:manualLayout>
      </c:layout>
      <c:overlay val="0"/>
      <c:txPr>
        <a:bodyPr/>
        <a:lstStyle/>
        <a:p>
          <a:pPr algn="ctr">
            <a:defRPr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498502194383693"/>
          <c:y val="0.27676482264579139"/>
          <c:w val="0.34304228662198538"/>
          <c:h val="0.6775417769655707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содержащиеся в обращениях граждан, поступивших во II квартале 2021 года</c:v>
                </c:pt>
              </c:strCache>
            </c:strRef>
          </c:tx>
          <c:spPr>
            <a:effectLst>
              <a:outerShdw blurRad="50800" dist="38100" dir="18900000" algn="bl" rotWithShape="0">
                <a:schemeClr val="bg1">
                  <a:lumMod val="95000"/>
                  <a:alpha val="40000"/>
                </a:schemeClr>
              </a:outerShdw>
            </a:effectLst>
          </c:spPr>
          <c:dPt>
            <c:idx val="0"/>
            <c:bubble3D val="0"/>
            <c:spPr>
              <a:solidFill>
                <a:schemeClr val="accent2"/>
              </a:solidFill>
              <a:effectLst>
                <a:outerShdw blurRad="50800" dist="38100" dir="18900000" algn="bl" rotWithShape="0">
                  <a:schemeClr val="bg1">
                    <a:lumMod val="95000"/>
                    <a:alpha val="40000"/>
                  </a:schemeClr>
                </a:outerShdw>
              </a:effectLst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effectLst>
                <a:outerShdw blurRad="50800" dist="38100" dir="18900000" algn="bl" rotWithShape="0">
                  <a:schemeClr val="bg1">
                    <a:lumMod val="95000"/>
                    <a:alpha val="40000"/>
                  </a:scheme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effectLst>
                <a:outerShdw blurRad="50800" dist="38100" dir="18900000" algn="bl" rotWithShape="0">
                  <a:schemeClr val="bg1">
                    <a:lumMod val="95000"/>
                    <a:alpha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-4.8277580504407155E-2"/>
                  <c:y val="1.5408894988734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428055881635074E-4"/>
                  <c:y val="-9.5662450311278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4363126775270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scene3d>
                <a:camera prst="orthographicFront"/>
                <a:lightRig rig="threePt" dir="t"/>
              </a:scene3d>
              <a:sp3d>
                <a:bevelB w="152400" h="50800" prst="softRound"/>
              </a:sp3d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Официальная статистическая информация</c:v>
                </c:pt>
                <c:pt idx="1">
                  <c:v>Прочая статистическая деятельность</c:v>
                </c:pt>
                <c:pt idx="2">
                  <c:v>Другие вопросы классификатора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107</c:v>
                </c:pt>
                <c:pt idx="1">
                  <c:v>13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7802750520286541"/>
          <c:y val="0.30821652498581587"/>
          <c:w val="0.49614343128501404"/>
          <c:h val="0.6149470138435775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3A5E-89C2-43CE-A072-2ED9D130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Mosoblstat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Кирьянова Светлана Викторовна</cp:lastModifiedBy>
  <cp:revision>68</cp:revision>
  <cp:lastPrinted>2015-05-05T07:20:00Z</cp:lastPrinted>
  <dcterms:created xsi:type="dcterms:W3CDTF">2021-07-01T11:48:00Z</dcterms:created>
  <dcterms:modified xsi:type="dcterms:W3CDTF">2021-07-07T11:29:00Z</dcterms:modified>
</cp:coreProperties>
</file>